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3C75CA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50/2016 per</w:t>
      </w:r>
      <w:r w:rsidR="003C75CA">
        <w:rPr>
          <w:rStyle w:val="BLOCKBOLD"/>
          <w:rFonts w:ascii="Calibri" w:hAnsi="Calibri"/>
        </w:rPr>
        <w:t xml:space="preserve"> la </w:t>
      </w:r>
      <w:r w:rsidR="003C75CA" w:rsidRPr="003C75CA">
        <w:rPr>
          <w:rStyle w:val="BLOCKBOLD"/>
          <w:rFonts w:ascii="Calibri" w:hAnsi="Calibri"/>
        </w:rPr>
        <w:t>Fornitura di accessi a banche dati feed “Recorded Future” e “Virus Total” per il supporto alle attività di threat intelligence del CERT Sogei</w:t>
      </w:r>
      <w:r w:rsidRPr="00A007BF">
        <w:rPr>
          <w:rStyle w:val="BLOCKBOLD"/>
          <w:rFonts w:ascii="Calibri" w:hAnsi="Calibri"/>
        </w:rPr>
        <w:t xml:space="preserve"> 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</w:t>
      </w:r>
      <w:bookmarkStart w:id="0" w:name="_GoBack"/>
      <w:bookmarkEnd w:id="0"/>
      <w:r w:rsidRPr="005C4101">
        <w:rPr>
          <w:rFonts w:ascii="Calibri" w:hAnsi="Calibri"/>
          <w:i/>
          <w:sz w:val="22"/>
          <w:szCs w:val="22"/>
        </w:rPr>
        <w:t>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lastRenderedPageBreak/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default" r:id="rId7"/>
      <w:footerReference w:type="default" r:id="rId8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 ai sensi dell’art. 36 co. 2 lett. b) D.lgs. 50/2016 </w:t>
    </w:r>
    <w:r w:rsidR="003C75CA" w:rsidRPr="003C75CA">
      <w:rPr>
        <w:rFonts w:ascii="Calibri" w:hAnsi="Calibri"/>
        <w:sz w:val="18"/>
        <w:szCs w:val="18"/>
      </w:rPr>
      <w:t>Fornitura di accessi a banche dati feed “Recorded Future” e “Virus Total” per il supporto alle attività di threat intelligence del CERT Sogei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5C4101" w:rsidRPr="009B6E69" w:rsidRDefault="005C410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3C75CA"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3C75CA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A83B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2019-03-28T08:18:00Z</dcterms:modified>
</cp:coreProperties>
</file>